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OBSAH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dt>
      <w:sdtPr>
        <w:id w:val="-287613622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476"/>
              <w:tab w:val="right" w:leader="none" w:pos="9061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2,2,Heading 3,3,"</w:instrText>
            <w:fldChar w:fldCharType="separate"/>
          </w:r>
          <w:hyperlink w:anchor="_heading=h.cw3ny45dhy7r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hyperlink>
          <w:hyperlink w:anchor="_heading=h.cw3ny45dhy7r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_heading=h.cw3ny45dhy7r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Všeobecne</w:t>
            <w:tab/>
            <w:t xml:space="preserve">1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476"/>
              <w:tab w:val="right" w:leader="none" w:pos="9061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9ud4rirl32ev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hyperlink>
          <w:hyperlink w:anchor="_heading=h.9ud4rirl32ev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_heading=h.9ud4rirl32ev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Potreba tepla</w:t>
            <w:tab/>
            <w:t xml:space="preserve">1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476"/>
              <w:tab w:val="right" w:leader="none" w:pos="9061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g9trhite25em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hyperlink>
          <w:hyperlink w:anchor="_heading=h.g9trhite25em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_heading=h.g9trhite25em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Vykurovací systém</w:t>
            <w:tab/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476"/>
              <w:tab w:val="right" w:leader="none" w:pos="9061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7d2c043t15pi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hyperlink>
          <w:hyperlink w:anchor="_heading=h.7d2c043t15pi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_heading=h.7d2c043t15pi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Elektrické vykurovacie telesá</w:t>
            <w:tab/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476"/>
              <w:tab w:val="right" w:leader="none" w:pos="9061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1o84n7uvh5v8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hyperlink>
          <w:hyperlink w:anchor="_heading=h.1o84n7uvh5v8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_heading=h.1o84n7uvh5v8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Zdroj tepla na vykurovanie</w:t>
            <w:tab/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476"/>
              <w:tab w:val="right" w:leader="none" w:pos="9061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5f8yocy019ob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hyperlink>
          <w:hyperlink w:anchor="_heading=h.5f8yocy019ob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_heading=h.5f8yocy019ob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Príprava teplej vody</w:t>
            <w:tab/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476"/>
              <w:tab w:val="right" w:leader="none" w:pos="9061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52mpotprj904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hyperlink>
          <w:hyperlink w:anchor="_heading=h.52mpotprj904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_heading=h.52mpotprj904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Regulácia vykurovania</w:t>
            <w:tab/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476"/>
              <w:tab w:val="right" w:leader="none" w:pos="9061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2pibx4scbcig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hyperlink>
          <w:hyperlink w:anchor="_heading=h.2pibx4scbcig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_heading=h.2pibx4scbcig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Skúšky</w:t>
            <w:tab/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476"/>
              <w:tab w:val="right" w:leader="none" w:pos="9061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uoipmsg50khq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hyperlink>
          <w:hyperlink w:anchor="_heading=h.uoipmsg50khq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_heading=h.uoipmsg50khq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Požiadavky na profesie</w:t>
            <w:tab/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476"/>
              <w:tab w:val="right" w:leader="none" w:pos="9061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80khtv21ncw4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hyperlink>
          <w:hyperlink w:anchor="_heading=h.80khtv21ncw4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_heading=h.80khtv21ncw4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Bezpečnosť a ochrana zdravia</w:t>
            <w:tab/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476"/>
              <w:tab w:val="right" w:leader="none" w:pos="9061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l1rkbxdcsh0o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</w:t>
            </w:r>
          </w:hyperlink>
          <w:hyperlink w:anchor="_heading=h.l1rkbxdcsh0o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_heading=h.l1rkbxdcsh0o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Poznámka</w:t>
            <w:tab/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E">
      <w:pPr>
        <w:pStyle w:val="Heading1"/>
        <w:tabs>
          <w:tab w:val="left" w:leader="none" w:pos="426"/>
        </w:tabs>
        <w:spacing w:after="0" w:before="0" w:lineRule="auto"/>
        <w:rPr>
          <w:color w:val="000000"/>
          <w:vertAlign w:val="baseline"/>
        </w:rPr>
      </w:pPr>
      <w:bookmarkStart w:colFirst="0" w:colLast="0" w:name="_heading=h.cw3ny45dhy7r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1"/>
        <w:numPr>
          <w:ilvl w:val="0"/>
          <w:numId w:val="1"/>
        </w:numPr>
        <w:spacing w:after="0" w:before="0" w:lineRule="auto"/>
        <w:ind w:left="567" w:hanging="567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Všeobecne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Projektová dokumentácia je vypracovaná v rozsahu projektu pre stavebné povolenie. Ako podklady na vypracovanie projektovej dokumentácie boli použité stavebné výkresy objektu, príslušné normy a technické podklady výrobcov, konzultácie s autorom projektu a požiadavky investora.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Projekt rieši vykurovanie novostavby centra občianskych a komunitných aktivít v obci Most pri Bratislave, parcela č.: 1220/738, 2500/32, 2500/33, k.ú.: Most pri Bratislave, okres Senec, elektrickým vykurovaním. Objekt bude zásobovaný teplom na vykurovanie prostredníctvom nástenných priamo výhrevných elektrických vykurovacích telies (el. konvektorov) a prostredníctvom podstropných kazetových alebo nástenných vnútorných jednotiek pripojených na multisplitové vonkajšie jednotky tepelných čerpadiel vzduch/vzduch zabezpečujúcich prevádzku podľa potreby pre vykurovanie v zimnom období a chladenie v letnom období.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Navrhovaný objekt centra občianskych a komunitných aktivít má jedno nadzemné podlažie a nie je podpivničený. Podrobný stavebný návrh a popis viď. projektová dokumentácia časť architektúra.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9ud4rirl32ev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1"/>
        <w:numPr>
          <w:ilvl w:val="0"/>
          <w:numId w:val="1"/>
        </w:numPr>
        <w:spacing w:after="0" w:before="0" w:lineRule="auto"/>
        <w:ind w:left="567" w:hanging="567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Potreba tepla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Potreba tepla bola vypočítaná podľa STN EN 12 831 pre tieto výpočtové podmienky: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Miesto:</w:t>
        <w:tab/>
        <w:tab/>
        <w:tab/>
        <w:tab/>
        <w:tab/>
        <w:tab/>
        <w:tab/>
        <w:t xml:space="preserve">obec Most pri Bratislave, okres Senec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Vonkajšia výpočtová teplota:</w:t>
        <w:tab/>
        <w:tab/>
        <w:tab/>
        <w:tab/>
        <w:tab/>
        <w:tab/>
        <w:t xml:space="preserve">-11°C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Priemerná dĺžka vykurovacieho obdobia:</w:t>
        <w:tab/>
        <w:tab/>
        <w:tab/>
        <w:tab/>
        <w:tab/>
        <w:t xml:space="preserve">210 dní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Priemerná vonkajšia teplota počas roka:</w:t>
        <w:tab/>
        <w:tab/>
        <w:tab/>
        <w:tab/>
        <w:tab/>
        <w:t xml:space="preserve">9,9 °C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Priemerná vonkajšia teplota počas vykurovacieho obdobia:</w:t>
        <w:tab/>
        <w:tab/>
        <w:t xml:space="preserve">4,2 °C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Poloha objektu:</w:t>
        <w:tab/>
        <w:tab/>
        <w:tab/>
        <w:tab/>
        <w:tab/>
        <w:tab/>
        <w:tab/>
        <w:tab/>
        <w:t xml:space="preserve">nechránená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Priemerná intenzita výmeny vzduchu</w:t>
        <w:tab/>
        <w:tab/>
        <w:tab/>
        <w:tab/>
        <w:tab/>
        <w:t xml:space="preserve">min. 0,5 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-1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Tepelno-technické parametre stavebných konštrukcií použité pre výpočet tepelnej straty objektu</w:t>
      </w:r>
    </w:p>
    <w:tbl>
      <w:tblPr>
        <w:tblStyle w:val="Table1"/>
        <w:tblW w:w="8505.0" w:type="dxa"/>
        <w:jc w:val="left"/>
        <w:tblInd w:w="56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521"/>
        <w:gridCol w:w="1984"/>
        <w:tblGridChange w:id="0">
          <w:tblGrid>
            <w:gridCol w:w="6521"/>
            <w:gridCol w:w="1984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Konštrukcia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 (W/(m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.K))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Obvodová stena (drevostavba / skleník)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0,262 / 2,5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Plochá a šikmá strecha do 45° (drevostavba / skleník)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0,121 / 2,5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Podlaha na teréne (na 1.NP)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0,339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Okná s izolačným trojsklom (drevostavba)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1,1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Vstupné dvere drevostavba (drevostavba)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2,0</w:t>
            </w:r>
          </w:p>
        </w:tc>
      </w:tr>
    </w:tbl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Zhoršenie tepelno-technických parametrov konštrukcií môže mať za následok nesprávny návrh zdroja tepla a celého vykurovacieho systému. Je preto potrebné pri realizácii dbať na dodržanie tepelno-technických parametrov všetkých stavebných konštrukcií objektu presne podľa projektu, inak projekt neručí za funkčnosť zariadení a vykur. systému.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Celkový projektovaný tepelný príkon (tepelná strata) objektu je: 30003 W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Predpokladaný elektrický príkon zariadení pre vykurovanie objektu bude cca 20 kW.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Predpokladaná potreba tepla na vykurovanie je 133,2 GJ/rok (prevádzka objektu 4 dni v týždni).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Potreba tepla na prípravu teplej vody je 14,2 GJ/rok (prevádzka objektu 4 dni v týždni).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Potreba tepla na vykurovanie a prípravu TV je 147,4 GJ/rok (prevádzka objektu 4 dni v týždni).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9trhite25em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1"/>
        <w:numPr>
          <w:ilvl w:val="0"/>
          <w:numId w:val="1"/>
        </w:numPr>
        <w:spacing w:after="0" w:before="0" w:lineRule="auto"/>
        <w:ind w:left="567" w:hanging="567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Vykurovací systém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firstLine="567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Jednotlivé miestnosti objektu budú vykurované podľa charakteru prevádzky a účelu na vnútornú teplotu podľa STN EN 12 831.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 pokrytie potreby tepla je v objekte podľa požiadaviek investora navrhnutý systém podstropných kazetových alebo nástenných vnútorných jednotiek pripojených na multisplitové vonkajšie jednotky reverzibilných tepelných čerpadiel vzduch/vzduch (napr. Mitsubishi) zabezpečujúcich prevádzku podľa potreby pre vykurovanie v zimnom období a chladenie v letnom období. Ako doplnkové vykurovanie pre protimrazovú ochranu a temperovanie vnútorných priestorov objektu sú navrhnuté nástenné priamo výhrevné elektrické vykurovacie telesá (el. konvektory napr. Fenix).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5l00d92igwdd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1"/>
        <w:numPr>
          <w:ilvl w:val="0"/>
          <w:numId w:val="1"/>
        </w:numPr>
        <w:spacing w:after="0" w:before="0" w:lineRule="auto"/>
        <w:ind w:left="567" w:hanging="567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Elektrické vykurovacie telesá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firstLine="567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Jednotlivé miestnosti objektu budú vykurované podľa charakteru prevádzky a účelu na vnútornú teplotu podľa STN EN 12 831.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 pokrytie potreby tepla sú navrhnuté v jednotlivých miestnostiach objektu podľa požiadaviek investora podstropné kazetové a nástenné jednotky s funkciou hyperheating s pripojením na tepelné čerpadlo vzduch/vzduch napr. Mitsubishi. Napojenie navrhovaných vnútorných a vonkajších jednotiek tepelného čerpadla vzduch/vzduch na elektrickú sieť objektu rieši podrobne profesia elektroinštalácia. Podrobné technické riešenie napojenia potrubí chladiva na vonkajšie a vnútorné jednotky tepelného čerpadla vzduch/vzduch ako aj ich napojenie na elektrickú sieť objektu a komunikačné rozhranie je obsahom ďalšieho stupňa projektovej dokumentácie (je riešením realizačného projektu stavby).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 doplnkové temperovanie a ako protimrazová ochrana vnútorných priestorov sú navrhnuté v jednotlivých miestnostiach objektu podľa požiadaviek investora elektrické priamo výhrevné panelové vykurovacie telesá s inštaláciou na stenu napr. FENIX ATLANTIC F125-D. Jednotlivé vykurovacie telesá budú napojené do elektrickej siete (napájacie napätie 230V/50Hz). V jednotlivých miestnostiach sú navrhované vykurovacie telesá s výkonom podľa potreby 500 – 1500 W na jedno vykurovacie teleso. Napojenie navrhovaných elektrických vykurovacích telies rieši podrobne profesia elektroinštalácia.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1o84n7uvh5v8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1"/>
        <w:numPr>
          <w:ilvl w:val="0"/>
          <w:numId w:val="1"/>
        </w:numPr>
        <w:spacing w:after="0" w:before="0" w:lineRule="auto"/>
        <w:ind w:left="567" w:hanging="567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Zdroj tepla na vykurovanie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Ako zdrojom tepla na vykurovanie je navrhnutý v objekte systém multisplitových jednotiek reverzibilných tepelných čerpadiel vzduch/vzduch napr. Mitsubishi.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 temperovanie a ako protimrazová ochrana objektu je navrhnutý v objekte systém elektrických panelových priamo výhrevných vykurovacích telies FENIX ATLANTIC F125-D.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Napojenie navrhnutých tepelných čerpadiel na vykurovanie a chladenie objektu ako aj elektrického vykurovania rieši podrobne profesia elektroinštalácia.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5f8yocy019ob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1"/>
        <w:numPr>
          <w:ilvl w:val="0"/>
          <w:numId w:val="1"/>
        </w:numPr>
        <w:spacing w:after="0" w:before="0" w:lineRule="auto"/>
        <w:ind w:left="567" w:hanging="567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Príprava teplej vody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Príprava teplej vody bude zabezpečovaná zvislým nástenným elektrickým tlakovým ohrievačom vody Dražice OKCE 125 s objemom 122 litrov. Elektrický ohrievač vody bude umiestnený v m.č. 1.08 "Šatňa personál“ zavesený na stene nad automatickou práčkou. Špecifikácia a popis navrhnutého zásobníkového ohrievača teplej vody viď. legenda v.č. UK-01 a ZTI-02.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52mpotprj904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1"/>
        <w:numPr>
          <w:ilvl w:val="0"/>
          <w:numId w:val="1"/>
        </w:numPr>
        <w:spacing w:after="0" w:before="0" w:lineRule="auto"/>
        <w:ind w:left="567" w:hanging="567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Regulácia vykurovania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Vnútorné jednotky napojené na tepelné čerpadlá vzduch/vzduch budú vybavené reguláciou od výrobcu, ktorá zabezpečuje všetky potrebné funkčné režimy. Ovládanie je možné prostredníctvom bezdrôtového diaľkového ovládania alebo cez internet.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Reguláciu elektrických priamo vykurovacích konvektorov FENIX ATLANTIC F125-D zabezpečuje integrovaný digitálny termostat.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Napojenie a reguláciu vykurovania rieši podrobne profesia elektroinštalácia, resp. bude obsahom ďalšieho stupňa projektovej dokumentácie.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2pibx4scbcig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1"/>
        <w:numPr>
          <w:ilvl w:val="0"/>
          <w:numId w:val="1"/>
        </w:numPr>
        <w:spacing w:after="0" w:before="0" w:lineRule="auto"/>
        <w:ind w:left="567" w:hanging="567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Skúšky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firstLine="567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Skúšky zariadenia je potrebné riešiť v rámci profesie „elektroinštalácia“ a podľa montážneho a prevádzkového predpisu výrobcu inštalovaných tepelných čerpadiel vzduch/vzduch a el. vykurovacích telies.</w:t>
      </w:r>
    </w:p>
    <w:p w:rsidR="00000000" w:rsidDel="00000000" w:rsidP="00000000" w:rsidRDefault="00000000" w:rsidRPr="00000000" w14:paraId="0000004C">
      <w:pPr>
        <w:ind w:firstLine="567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Skúšky zariadenia je potrebné urobiť v zmysle príslušných noriem a predpisov. Každé zariadenie musí byť pred uvedením do prevádzky vyskúšané.</w:t>
      </w:r>
    </w:p>
    <w:p w:rsidR="00000000" w:rsidDel="00000000" w:rsidP="00000000" w:rsidRDefault="00000000" w:rsidRPr="00000000" w14:paraId="0000004D">
      <w:pPr>
        <w:ind w:firstLine="567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O priebehu skúšky sa napíše protokol.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l5d2bjuoaz3g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1"/>
        <w:numPr>
          <w:ilvl w:val="0"/>
          <w:numId w:val="1"/>
        </w:numPr>
        <w:spacing w:after="0" w:before="0" w:lineRule="auto"/>
        <w:ind w:left="567" w:hanging="567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Požiadavky na profesie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851" w:hanging="851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Elektroinštalácia:</w:t>
      </w:r>
    </w:p>
    <w:p w:rsidR="00000000" w:rsidDel="00000000" w:rsidP="00000000" w:rsidRDefault="00000000" w:rsidRPr="00000000" w14:paraId="00000051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- v mieste navrhovaného osadenia vykurovacieho telesa zabezpečiť napojenie na elektrickú sieť 230 V</w:t>
      </w:r>
    </w:p>
    <w:p w:rsidR="00000000" w:rsidDel="00000000" w:rsidP="00000000" w:rsidRDefault="00000000" w:rsidRPr="00000000" w14:paraId="00000052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- zabezpečiť napojenie elektrického zásobníkového ohrievača teplej vody na elektrickú sieť 230 V</w:t>
      </w:r>
    </w:p>
    <w:p w:rsidR="00000000" w:rsidDel="00000000" w:rsidP="00000000" w:rsidRDefault="00000000" w:rsidRPr="00000000" w14:paraId="00000053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- v mieste navrhovaného osadenia vonkajších a vnútorných jednotiek systémutepelného čerpadla vzduch/vzduch zabezpečiť napojenie na elektrickú sieť objektu podľa špecifikácie výrobcu zariadenia</w:t>
      </w:r>
    </w:p>
    <w:p w:rsidR="00000000" w:rsidDel="00000000" w:rsidP="00000000" w:rsidRDefault="00000000" w:rsidRPr="00000000" w14:paraId="00000054">
      <w:pPr>
        <w:ind w:left="851" w:hanging="851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- zabezpečiť správne nadimenzovaný a navrhnutý elektrický rozvod v objekte pre navrhovanú</w:t>
      </w:r>
    </w:p>
    <w:p w:rsidR="00000000" w:rsidDel="00000000" w:rsidP="00000000" w:rsidRDefault="00000000" w:rsidRPr="00000000" w14:paraId="00000055">
      <w:pPr>
        <w:ind w:left="851" w:hanging="851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elektrickú záťaž</w:t>
      </w:r>
    </w:p>
    <w:p w:rsidR="00000000" w:rsidDel="00000000" w:rsidP="00000000" w:rsidRDefault="00000000" w:rsidRPr="00000000" w14:paraId="00000056">
      <w:pPr>
        <w:ind w:left="851" w:hanging="851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Zdravotechnika</w:t>
      </w:r>
    </w:p>
    <w:p w:rsidR="00000000" w:rsidDel="00000000" w:rsidP="00000000" w:rsidRDefault="00000000" w:rsidRPr="00000000" w14:paraId="00000057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- zabezpečiť odvod kondenzátu od vnútorných jednotiek zabezpečujúcich chladenie (klimatizáciu) do kanalizácie</w:t>
      </w:r>
    </w:p>
    <w:p w:rsidR="00000000" w:rsidDel="00000000" w:rsidP="00000000" w:rsidRDefault="00000000" w:rsidRPr="00000000" w14:paraId="00000058">
      <w:pPr>
        <w:ind w:left="851" w:hanging="851"/>
        <w:jc w:val="both"/>
        <w:rPr>
          <w:sz w:val="22"/>
          <w:szCs w:val="22"/>
          <w:vertAlign w:val="baseline"/>
        </w:rPr>
      </w:pPr>
      <w:bookmarkStart w:colFirst="0" w:colLast="0" w:name="_heading=h.80khtv21ncw4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Style w:val="Heading1"/>
        <w:numPr>
          <w:ilvl w:val="0"/>
          <w:numId w:val="1"/>
        </w:numPr>
        <w:spacing w:after="0" w:before="0" w:lineRule="auto"/>
        <w:ind w:left="567" w:hanging="567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Bezpečnosť a ochrana zdravia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ind w:firstLine="567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Montážna organizácia musí mať platné oprávnenie na montáž vyhradených technických zariadení tlakových v zmysle § 4 Vyhl. MPSvR SR č. 508/2009 Zb. a Vyhl. MPSvR SR č. 398/2013 Zb. Dodávateľ stavby pri vykonávaní stavebných montážnych prác musí plne rešpektovať Vyhl. MPSVaR SR č. 147/2013 Z.z. o bezpečnosti práce a technických zariadení pri stavebných prácach.</w:t>
      </w:r>
    </w:p>
    <w:p w:rsidR="00000000" w:rsidDel="00000000" w:rsidP="00000000" w:rsidRDefault="00000000" w:rsidRPr="00000000" w14:paraId="0000005B">
      <w:pPr>
        <w:ind w:firstLine="567"/>
        <w:jc w:val="both"/>
        <w:rPr>
          <w:sz w:val="22"/>
          <w:szCs w:val="22"/>
          <w:vertAlign w:val="baseline"/>
        </w:rPr>
      </w:pPr>
      <w:bookmarkStart w:colFirst="0" w:colLast="0" w:name="_heading=h.l1rkbxdcsh0o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Style w:val="Heading1"/>
        <w:numPr>
          <w:ilvl w:val="0"/>
          <w:numId w:val="1"/>
        </w:numPr>
        <w:spacing w:after="0" w:before="0" w:lineRule="auto"/>
        <w:ind w:left="567" w:hanging="567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Poznámka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ind w:firstLine="567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Tento projekt je spracovaný na stupni projektu pre stavebné povolenie, neslúži ako realizačný projekt, nemožno podľa neho stavbu realizovať.</w:t>
      </w:r>
    </w:p>
    <w:p w:rsidR="00000000" w:rsidDel="00000000" w:rsidP="00000000" w:rsidRDefault="00000000" w:rsidRPr="00000000" w14:paraId="0000005E">
      <w:pPr>
        <w:ind w:firstLine="567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Projektová dokumentácia v tomto stupni vyhotovenia neobsahuje podrobné technické riešenie vykurovacieho systému a zdroja tepla. Podrobné technické riešenie je obsahom realizačného projektu!</w:t>
      </w:r>
    </w:p>
    <w:p w:rsidR="00000000" w:rsidDel="00000000" w:rsidP="00000000" w:rsidRDefault="00000000" w:rsidRPr="00000000" w14:paraId="0000005F">
      <w:pPr>
        <w:ind w:firstLine="567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Projekt neručí za funkčnosť, správnosť a chod zariadení a systému, pokiaľ budú zmenené akékoľvek  zariadenia alebo nastavenia uvedené v projekte stavby, bez predchádzajúcej konzultácie s projektantom.</w:t>
      </w:r>
    </w:p>
    <w:p w:rsidR="00000000" w:rsidDel="00000000" w:rsidP="00000000" w:rsidRDefault="00000000" w:rsidRPr="00000000" w14:paraId="00000060">
      <w:pPr>
        <w:ind w:firstLine="708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Podrobné riešenie regulácie nie je predmetom riešenia tejto projektovej dokumentácie, rieši profesia MaR, resp. elektroinštalácia.</w:t>
      </w:r>
    </w:p>
    <w:p w:rsidR="00000000" w:rsidDel="00000000" w:rsidP="00000000" w:rsidRDefault="00000000" w:rsidRPr="00000000" w14:paraId="00000061">
      <w:pPr>
        <w:ind w:firstLine="708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Pri realizácii jednotlivých častí elektrického vykurovania je potrebné dodržať príslušné technické normy a technologické predpisy výrobcov zariadení.</w:t>
      </w:r>
    </w:p>
    <w:p w:rsidR="00000000" w:rsidDel="00000000" w:rsidP="00000000" w:rsidRDefault="00000000" w:rsidRPr="00000000" w14:paraId="00000062">
      <w:pPr>
        <w:ind w:firstLine="708"/>
        <w:jc w:val="both"/>
        <w:rPr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Podrobný návrh systému vykurovania ako aj montáž a skúšky vykoná dodávateľská, resp. realizačná firma, ktorá zodpovedá za jeho odborný a správny návrh a prevedenie. Za návrh, montáž a dodržanie príslušných noriem a predpisov berie teda plnú zodpovednosť realizačná firma. Projekt preto neručí za funkčnosť, bezporuchovú prevádzku systému, správnosť inštalácie a prevedenia diela ako ani za skryté závady, ktoré nedodržaním príslušných technických noriem, pracovných postupov a technologických predpisov výrobcov zariadení môžu vzniknúť pri realizácii stavebného diela (elektrického vykurovania).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ind w:firstLine="708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V Štitároch, marec 2025</w:t>
        <w:tab/>
        <w:tab/>
        <w:tab/>
        <w:t xml:space="preserve">vypracoval: Ing. Martin Boledovič, PhD.</w:t>
      </w:r>
    </w:p>
    <w:sectPr>
      <w:headerReference r:id="rId7" w:type="default"/>
      <w:footerReference r:id="rId8" w:type="default"/>
      <w:pgSz w:h="16840" w:w="11907" w:orient="portrait"/>
      <w:pgMar w:bottom="1418" w:top="1418" w:left="1418" w:right="1418" w:header="709" w:footer="78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  <w:font w:name="System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-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-</w:t>
    </w:r>
  </w:p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color="000000" w:space="1" w:sz="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-1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Technická správa</w:t>
    </w:r>
  </w:p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color="000000" w:space="1" w:sz="4" w:val="single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CENTRUM OBČIANSKYCH A KOMUNITNÝCH AKTIVÍT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color="000000" w:space="1" w:sz="4" w:val="single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System" w:cs="System" w:eastAsia="System" w:hAnsi="System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950, s.r.o., Znievska </w:t>
    </w:r>
    <w:r w:rsidDel="00000000" w:rsidR="00000000" w:rsidRPr="00000000">
      <w:rPr>
        <w:rtl w:val="0"/>
      </w:rPr>
      <w:t xml:space="preserve">3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149/40, Bratislava, PSČ 851 06, SR, IČO:  52803007</w:t>
      <w:tab/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Vykurovanie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567" w:hanging="567"/>
      </w:pPr>
      <w:rPr>
        <w:rFonts w:ascii="Arial" w:cs="Arial" w:eastAsia="Arial" w:hAnsi="Arial"/>
        <w:vertAlign w:val="baseline"/>
      </w:rPr>
    </w:lvl>
    <w:lvl w:ilvl="1">
      <w:start w:val="1"/>
      <w:numFmt w:val="decimal"/>
      <w:lvlText w:val="%1.%2."/>
      <w:lvlJc w:val="left"/>
      <w:pPr>
        <w:ind w:left="1275" w:hanging="708"/>
      </w:pPr>
      <w:rPr>
        <w:rFonts w:ascii="Times New Roman" w:cs="Times New Roman" w:eastAsia="Times New Roman" w:hAnsi="Times New Roman"/>
        <w:vertAlign w:val="baseline"/>
      </w:rPr>
    </w:lvl>
    <w:lvl w:ilvl="2">
      <w:start w:val="1"/>
      <w:numFmt w:val="decimal"/>
      <w:lvlText w:val="%1.%2.%3."/>
      <w:lvlJc w:val="left"/>
      <w:pPr>
        <w:ind w:left="1983" w:hanging="707.9999999999998"/>
      </w:pPr>
      <w:rPr>
        <w:rFonts w:ascii="Times New Roman" w:cs="Times New Roman" w:eastAsia="Times New Roman" w:hAnsi="Times New Roman"/>
        <w:vertAlign w:val="baseline"/>
      </w:rPr>
    </w:lvl>
    <w:lvl w:ilvl="3">
      <w:start w:val="1"/>
      <w:numFmt w:val="decimal"/>
      <w:lvlText w:val="%1.%2.%3.%4."/>
      <w:lvlJc w:val="left"/>
      <w:pPr>
        <w:ind w:left="2691" w:hanging="708"/>
      </w:pPr>
      <w:rPr>
        <w:rFonts w:ascii="Times New Roman" w:cs="Times New Roman" w:eastAsia="Times New Roman" w:hAnsi="Times New Roman"/>
        <w:vertAlign w:val="baseline"/>
      </w:rPr>
    </w:lvl>
    <w:lvl w:ilvl="4">
      <w:start w:val="1"/>
      <w:numFmt w:val="decimal"/>
      <w:lvlText w:val="%1.%2.%3.%4.%5."/>
      <w:lvlJc w:val="left"/>
      <w:pPr>
        <w:ind w:left="3399" w:hanging="708.0000000000005"/>
      </w:pPr>
      <w:rPr>
        <w:rFonts w:ascii="Times New Roman" w:cs="Times New Roman" w:eastAsia="Times New Roman" w:hAnsi="Times New Roman"/>
        <w:vertAlign w:val="baseline"/>
      </w:rPr>
    </w:lvl>
    <w:lvl w:ilvl="5">
      <w:start w:val="1"/>
      <w:numFmt w:val="decimal"/>
      <w:lvlText w:val="%1.%2.%3.%4.%5.%6."/>
      <w:lvlJc w:val="left"/>
      <w:pPr>
        <w:ind w:left="4107" w:hanging="708"/>
      </w:pPr>
      <w:rPr>
        <w:rFonts w:ascii="Times New Roman" w:cs="Times New Roman" w:eastAsia="Times New Roman" w:hAnsi="Times New Roman"/>
        <w:vertAlign w:val="baseline"/>
      </w:rPr>
    </w:lvl>
    <w:lvl w:ilvl="6">
      <w:start w:val="1"/>
      <w:numFmt w:val="decimal"/>
      <w:lvlText w:val="%1.%2.%3.%4.%5.%6.%7."/>
      <w:lvlJc w:val="left"/>
      <w:pPr>
        <w:ind w:left="4815" w:hanging="708"/>
      </w:pPr>
      <w:rPr>
        <w:rFonts w:ascii="Times New Roman" w:cs="Times New Roman" w:eastAsia="Times New Roman" w:hAnsi="Times New Roman"/>
        <w:vertAlign w:val="baseline"/>
      </w:rPr>
    </w:lvl>
    <w:lvl w:ilvl="7">
      <w:start w:val="1"/>
      <w:numFmt w:val="decimal"/>
      <w:lvlText w:val="%1.%2.%3.%4.%5.%6.%7.%8."/>
      <w:lvlJc w:val="left"/>
      <w:pPr>
        <w:ind w:left="5523" w:hanging="708.0000000000009"/>
      </w:pPr>
      <w:rPr>
        <w:rFonts w:ascii="Times New Roman" w:cs="Times New Roman" w:eastAsia="Times New Roman" w:hAnsi="Times New Roman"/>
        <w:vertAlign w:val="baseline"/>
      </w:rPr>
    </w:lvl>
    <w:lvl w:ilvl="8">
      <w:start w:val="1"/>
      <w:numFmt w:val="decimal"/>
      <w:lvlText w:val="%1.%2.%3.%4.%5.%6.%7.%8.%9."/>
      <w:lvlJc w:val="left"/>
      <w:pPr>
        <w:ind w:left="6231" w:hanging="707.9999999999991"/>
      </w:pPr>
      <w:rPr>
        <w:rFonts w:ascii="Times New Roman" w:cs="Times New Roman" w:eastAsia="Times New Roman" w:hAnsi="Times New Roman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sk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  <w:ind w:left="567" w:hanging="567"/>
    </w:pPr>
    <w:rPr>
      <w:rFonts w:ascii="Arial" w:cs="Arial" w:eastAsia="Arial" w:hAnsi="Arial"/>
      <w:b w:val="1"/>
      <w:color w:val="008000"/>
      <w:sz w:val="28"/>
      <w:szCs w:val="28"/>
      <w:vertAlign w:val="baseline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ind w:left="1275" w:hanging="708"/>
    </w:pPr>
    <w:rPr>
      <w:rFonts w:ascii="Arial" w:cs="Arial" w:eastAsia="Arial" w:hAnsi="Arial"/>
      <w:b w:val="1"/>
      <w:color w:val="0000ff"/>
      <w:sz w:val="24"/>
      <w:szCs w:val="24"/>
      <w:vertAlign w:val="baseline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  <w:ind w:left="1983" w:hanging="708"/>
    </w:pPr>
    <w:rPr>
      <w:rFonts w:ascii="Arial" w:cs="Arial" w:eastAsia="Arial" w:hAnsi="Arial"/>
      <w:b w:val="1"/>
      <w:sz w:val="22"/>
      <w:szCs w:val="22"/>
      <w:vertAlign w:val="baseline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2691" w:hanging="708.0000000000001"/>
    </w:pPr>
    <w:rPr>
      <w:rFonts w:ascii="Arial" w:cs="Arial" w:eastAsia="Arial" w:hAnsi="Arial"/>
      <w:b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spacing w:after="60" w:before="240" w:lineRule="auto"/>
      <w:ind w:left="3399" w:hanging="708.0000000000001"/>
    </w:pPr>
    <w:rPr>
      <w:rFonts w:ascii="Arial" w:cs="Arial" w:eastAsia="Arial" w:hAnsi="Arial"/>
      <w:sz w:val="22"/>
      <w:szCs w:val="22"/>
      <w:vertAlign w:val="baseline"/>
    </w:rPr>
  </w:style>
  <w:style w:type="paragraph" w:styleId="Heading6">
    <w:name w:val="heading 6"/>
    <w:basedOn w:val="Normal"/>
    <w:next w:val="Normal"/>
    <w:pPr>
      <w:spacing w:after="60" w:before="240" w:lineRule="auto"/>
      <w:ind w:left="4107" w:hanging="708.0000000000001"/>
    </w:pPr>
    <w:rPr>
      <w:i w:val="1"/>
      <w:sz w:val="22"/>
      <w:szCs w:val="22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Heading7">
    <w:name w:val="Heading 7"/>
    <w:basedOn w:val="Normal"/>
    <w:next w:val="Normal"/>
    <w:autoRedefine w:val="0"/>
    <w:hidden w:val="0"/>
    <w:qFormat w:val="0"/>
    <w:pPr>
      <w:numPr>
        <w:ilvl w:val="6"/>
        <w:numId w:val="1"/>
      </w:numPr>
      <w:suppressAutoHyphens w:val="1"/>
      <w:autoSpaceDE w:val="0"/>
      <w:autoSpaceDN w:val="0"/>
      <w:adjustRightInd w:val="0"/>
      <w:spacing w:after="60" w:before="240" w:line="1" w:lineRule="atLeast"/>
      <w:ind w:leftChars="-1" w:rightChars="0" w:firstLineChars="-1"/>
      <w:textDirection w:val="btLr"/>
      <w:textAlignment w:val="top"/>
      <w:outlineLvl w:val="6"/>
    </w:pPr>
    <w:rPr>
      <w:rFonts w:ascii="Arial" w:cs="Arial" w:hAnsi="Arial"/>
      <w:w w:val="100"/>
      <w:position w:val="-1"/>
      <w:effect w:val="none"/>
      <w:vertAlign w:val="baseline"/>
      <w:cs w:val="0"/>
      <w:em w:val="none"/>
      <w:lang w:bidi="ar-SA" w:eastAsia="sk-SK" w:val="sk-SK"/>
    </w:rPr>
  </w:style>
  <w:style w:type="paragraph" w:styleId="Heading8">
    <w:name w:val="Heading 8"/>
    <w:basedOn w:val="Normal"/>
    <w:next w:val="Normal"/>
    <w:autoRedefine w:val="0"/>
    <w:hidden w:val="0"/>
    <w:qFormat w:val="0"/>
    <w:pPr>
      <w:numPr>
        <w:ilvl w:val="7"/>
        <w:numId w:val="1"/>
      </w:numPr>
      <w:suppressAutoHyphens w:val="1"/>
      <w:autoSpaceDE w:val="0"/>
      <w:autoSpaceDN w:val="0"/>
      <w:adjustRightInd w:val="0"/>
      <w:spacing w:after="60" w:before="240" w:line="1" w:lineRule="atLeast"/>
      <w:ind w:leftChars="-1" w:rightChars="0" w:firstLineChars="-1"/>
      <w:textDirection w:val="btLr"/>
      <w:textAlignment w:val="top"/>
      <w:outlineLvl w:val="7"/>
    </w:pPr>
    <w:rPr>
      <w:rFonts w:ascii="Arial" w:cs="Arial" w:hAnsi="Arial"/>
      <w:i w:val="1"/>
      <w:iCs w:val="1"/>
      <w:w w:val="100"/>
      <w:position w:val="-1"/>
      <w:effect w:val="none"/>
      <w:vertAlign w:val="baseline"/>
      <w:cs w:val="0"/>
      <w:em w:val="none"/>
      <w:lang w:bidi="ar-SA" w:eastAsia="sk-SK" w:val="sk-SK"/>
    </w:rPr>
  </w:style>
  <w:style w:type="paragraph" w:styleId="Heading9">
    <w:name w:val="Heading 9"/>
    <w:basedOn w:val="Normal"/>
    <w:next w:val="Normal"/>
    <w:autoRedefine w:val="0"/>
    <w:hidden w:val="0"/>
    <w:qFormat w:val="0"/>
    <w:pPr>
      <w:numPr>
        <w:ilvl w:val="8"/>
        <w:numId w:val="1"/>
      </w:numPr>
      <w:suppressAutoHyphens w:val="1"/>
      <w:autoSpaceDE w:val="0"/>
      <w:autoSpaceDN w:val="0"/>
      <w:adjustRightInd w:val="0"/>
      <w:spacing w:after="60" w:before="240" w:line="1" w:lineRule="atLeast"/>
      <w:ind w:leftChars="-1" w:rightChars="0" w:firstLineChars="-1"/>
      <w:textDirection w:val="btLr"/>
      <w:textAlignment w:val="top"/>
      <w:outlineLvl w:val="8"/>
    </w:pPr>
    <w:rPr>
      <w:rFonts w:ascii="Arial" w:cs="Arial" w:hAnsi="Arial"/>
      <w:b w:val="1"/>
      <w:bCs w:val="1"/>
      <w:i w:val="1"/>
      <w:iCs w:val="1"/>
      <w:w w:val="100"/>
      <w:position w:val="-1"/>
      <w:sz w:val="18"/>
      <w:szCs w:val="18"/>
      <w:effect w:val="none"/>
      <w:vertAlign w:val="baseline"/>
      <w:cs w:val="0"/>
      <w:em w:val="none"/>
      <w:lang w:bidi="ar-SA" w:eastAsia="sk-SK" w:val="sk-SK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eading1Char">
    <w:name w:val="Heading 1 Char"/>
    <w:next w:val="Heading1Char"/>
    <w:autoRedefine w:val="0"/>
    <w:hidden w:val="0"/>
    <w:qFormat w:val="0"/>
    <w:rPr>
      <w:rFonts w:ascii="Cambria" w:cs="Times New Roman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/>
    </w:rPr>
  </w:style>
  <w:style w:type="character" w:styleId="Heading2Char">
    <w:name w:val="Heading 2 Char"/>
    <w:next w:val="Heading2Char"/>
    <w:autoRedefine w:val="0"/>
    <w:hidden w:val="0"/>
    <w:qFormat w:val="0"/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character" w:styleId="Heading3Char">
    <w:name w:val="Heading 3 Char"/>
    <w:next w:val="Heading3Char"/>
    <w:autoRedefine w:val="0"/>
    <w:hidden w:val="0"/>
    <w:qFormat w:val="0"/>
    <w:rPr>
      <w:rFonts w:ascii="Cambria" w:cs="Times New Roman" w:eastAsia="Times New Roman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/>
    </w:rPr>
  </w:style>
  <w:style w:type="character" w:styleId="Heading4Char">
    <w:name w:val="Heading 4 Char"/>
    <w:next w:val="Heading4Char"/>
    <w:autoRedefine w:val="0"/>
    <w:hidden w:val="0"/>
    <w:qFormat w:val="0"/>
    <w:rPr>
      <w:rFonts w:ascii="Calibri" w:cs="Times New Roman" w:eastAsia="Times New Roman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character" w:styleId="Heading5Char">
    <w:name w:val="Heading 5 Char"/>
    <w:next w:val="Heading5Char"/>
    <w:autoRedefine w:val="0"/>
    <w:hidden w:val="0"/>
    <w:qFormat w:val="0"/>
    <w:rPr>
      <w:rFonts w:ascii="Calibri" w:cs="Times New Roman" w:eastAsia="Times New Roman" w:hAnsi="Calibri"/>
      <w:b w:val="1"/>
      <w:bCs w:val="1"/>
      <w:i w:val="1"/>
      <w:iCs w:val="1"/>
      <w:w w:val="100"/>
      <w:position w:val="-1"/>
      <w:sz w:val="26"/>
      <w:szCs w:val="26"/>
      <w:effect w:val="none"/>
      <w:vertAlign w:val="baseline"/>
      <w:cs w:val="0"/>
      <w:em w:val="none"/>
      <w:lang/>
    </w:rPr>
  </w:style>
  <w:style w:type="character" w:styleId="Heading6Char">
    <w:name w:val="Heading 6 Char"/>
    <w:next w:val="Heading6Char"/>
    <w:autoRedefine w:val="0"/>
    <w:hidden w:val="0"/>
    <w:qFormat w:val="0"/>
    <w:rPr>
      <w:rFonts w:ascii="Calibri" w:cs="Times New Roman" w:eastAsia="Times New Roman" w:hAnsi="Calibri"/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Heading7Char">
    <w:name w:val="Heading 7 Char"/>
    <w:next w:val="Heading7Char"/>
    <w:autoRedefine w:val="0"/>
    <w:hidden w:val="0"/>
    <w:qFormat w:val="0"/>
    <w:rPr>
      <w:rFonts w:ascii="Calibri" w:cs="Times New Roman" w:eastAsia="Times New Roman" w:hAnsi="Calibri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Heading8Char">
    <w:name w:val="Heading 8 Char"/>
    <w:next w:val="Heading8Char"/>
    <w:autoRedefine w:val="0"/>
    <w:hidden w:val="0"/>
    <w:qFormat w:val="0"/>
    <w:rPr>
      <w:rFonts w:ascii="Calibri" w:cs="Times New Roman" w:eastAsia="Times New Roman" w:hAnsi="Calibri"/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Heading9Char">
    <w:name w:val="Heading 9 Char"/>
    <w:next w:val="Heading9Char"/>
    <w:autoRedefine w:val="0"/>
    <w:hidden w:val="0"/>
    <w:qFormat w:val="0"/>
    <w:rPr>
      <w:rFonts w:ascii="Cambria" w:cs="Times New Roman" w:eastAsia="Times New Roman" w:hAnsi="Cambria"/>
      <w:w w:val="100"/>
      <w:position w:val="-1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k-SK" w:val="sk-SK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paragraph" w:styleId="Text">
    <w:name w:val="Text"/>
    <w:basedOn w:val="Normal"/>
    <w:next w:val="Tex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="567" w:firstLineChars="-1"/>
      <w:jc w:val="both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sk-SK" w:val="sk-SK"/>
    </w:rPr>
  </w:style>
  <w:style w:type="paragraph" w:styleId="Footer">
    <w:name w:val="Footer"/>
    <w:basedOn w:val="Normal"/>
    <w:next w:val="Footer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k-SK" w:val="sk-SK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PageNumber">
    <w:name w:val="Page Number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autoSpaceDE w:val="1"/>
      <w:autoSpaceDN w:val="1"/>
      <w:adjustRightInd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cs-CZ" w:val="sk-SK"/>
    </w:rPr>
  </w:style>
  <w:style w:type="character" w:styleId="BodyTextChar">
    <w:name w:val="Body Text Char"/>
    <w:next w:val="BodyTextChar"/>
    <w:autoRedefine w:val="0"/>
    <w:hidden w:val="0"/>
    <w:qFormat w:val="0"/>
    <w:rPr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paragraph" w:styleId="BodyTextIndent2">
    <w:name w:val="Body Text Indent 2"/>
    <w:basedOn w:val="Normal"/>
    <w:next w:val="BodyTextIndent2"/>
    <w:autoRedefine w:val="0"/>
    <w:hidden w:val="0"/>
    <w:qFormat w:val="1"/>
    <w:pPr>
      <w:suppressAutoHyphens w:val="1"/>
      <w:autoSpaceDE w:val="0"/>
      <w:autoSpaceDN w:val="0"/>
      <w:adjustRightInd w:val="0"/>
      <w:spacing w:after="120" w:line="480" w:lineRule="auto"/>
      <w:ind w:left="283"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k-SK" w:val="sk-SK"/>
    </w:rPr>
  </w:style>
  <w:style w:type="character" w:styleId="BodyTextIndent2Char">
    <w:name w:val="Body Text Indent 2 Char"/>
    <w:basedOn w:val="DefaultParagraphFont"/>
    <w:next w:val="BodyTextIndent2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BodyText21">
    <w:name w:val="Body Text 21"/>
    <w:basedOn w:val="Normal"/>
    <w:next w:val="BodyText21"/>
    <w:autoRedefine w:val="0"/>
    <w:hidden w:val="0"/>
    <w:qFormat w:val="0"/>
    <w:pPr>
      <w:tabs>
        <w:tab w:val="left" w:leader="none" w:pos="1620"/>
        <w:tab w:val="left" w:leader="none" w:pos="6915"/>
      </w:tabs>
      <w:suppressAutoHyphens w:val="1"/>
      <w:overflowPunct w:val="0"/>
      <w:autoSpaceDE w:val="0"/>
      <w:autoSpaceDN w:val="0"/>
      <w:adjustRightInd w:val="0"/>
      <w:spacing w:line="1" w:lineRule="atLeast"/>
      <w:ind w:left="360" w:leftChars="-1" w:rightChars="0" w:firstLineChars="-1"/>
      <w:jc w:val="both"/>
      <w:textDirection w:val="btLr"/>
      <w:textAlignment w:val="baseline"/>
      <w:outlineLvl w:val="0"/>
    </w:pPr>
    <w:rPr>
      <w:color w:val="000000"/>
      <w:w w:val="100"/>
      <w:position w:val="-1"/>
      <w:sz w:val="24"/>
      <w:effect w:val="none"/>
      <w:vertAlign w:val="baseline"/>
      <w:cs w:val="0"/>
      <w:em w:val="none"/>
      <w:lang w:bidi="ar-SA" w:eastAsia="sk-SK" w:val="cs-CZ"/>
    </w:r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TOC1">
    <w:name w:val="TOC 1"/>
    <w:basedOn w:val="Normal"/>
    <w:next w:val="Normal"/>
    <w:autoRedefine w:val="0"/>
    <w:hidden w:val="0"/>
    <w:qFormat w:val="0"/>
    <w:pPr>
      <w:tabs>
        <w:tab w:val="left" w:leader="none" w:pos="476"/>
        <w:tab w:val="right" w:leader="dot" w:pos="9061"/>
      </w:tabs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sk-SK" w:val="sk-SK"/>
    </w:rPr>
  </w:style>
  <w:style w:type="paragraph" w:styleId="ŠtýlNadpis1+Pred:0ptZa:0pt">
    <w:name w:val="Štýl Nadpis 1 + Pred:  0 pt Za:  0 pt"/>
    <w:basedOn w:val="Heading1"/>
    <w:next w:val="ŠtýlNadpis1+Pred:0ptZa:0pt"/>
    <w:autoRedefine w:val="0"/>
    <w:hidden w:val="0"/>
    <w:qFormat w:val="0"/>
    <w:pPr>
      <w:keepNext w:val="1"/>
      <w:numPr>
        <w:ilvl w:val="0"/>
        <w:numId w:val="1"/>
      </w:numPr>
      <w:suppressAutoHyphens w:val="1"/>
      <w:autoSpaceDE w:val="0"/>
      <w:autoSpaceDN w:val="0"/>
      <w:adjustRightInd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Arial" w:cs="Times New Roman" w:hAnsi="Arial"/>
      <w:b w:val="1"/>
      <w:bCs w:val="1"/>
      <w:color w:val="008000"/>
      <w:w w:val="100"/>
      <w:kern w:val="28"/>
      <w:position w:val="-1"/>
      <w:sz w:val="28"/>
      <w:szCs w:val="20"/>
      <w:effect w:val="none"/>
      <w:vertAlign w:val="baseline"/>
      <w:cs w:val="0"/>
      <w:em w:val="none"/>
      <w:lang w:bidi="ar-SA" w:eastAsia="sk-SK" w:val="sk-SK"/>
    </w:rPr>
  </w:style>
  <w:style w:type="paragraph" w:styleId="BodyText2">
    <w:name w:val="Body Text 2"/>
    <w:basedOn w:val="Normal"/>
    <w:next w:val="BodyText2"/>
    <w:autoRedefine w:val="0"/>
    <w:hidden w:val="0"/>
    <w:qFormat w:val="1"/>
    <w:pPr>
      <w:suppressAutoHyphens w:val="1"/>
      <w:autoSpaceDE w:val="0"/>
      <w:autoSpaceDN w:val="0"/>
      <w:adjustRightInd w:val="0"/>
      <w:spacing w:after="120" w:line="48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k-SK" w:val="sk-SK"/>
    </w:rPr>
  </w:style>
  <w:style w:type="character" w:styleId="BodyText2Char">
    <w:name w:val="Body Text 2 Char"/>
    <w:basedOn w:val="DefaultParagraphFont"/>
    <w:next w:val="BodyText2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ZáhlavíChar1">
    <w:name w:val="Záhlaví Char1"/>
    <w:next w:val="ZáhlavíChar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ar-SA"/>
    </w:rPr>
  </w:style>
  <w:style w:type="character" w:styleId="apple-style-span">
    <w:name w:val="apple-style-span"/>
    <w:basedOn w:val="DefaultParagraphFont"/>
    <w:next w:val="apple-style-span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pple-converted-space">
    <w:name w:val="apple-converted-space"/>
    <w:basedOn w:val="DefaultParagraphFont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St3z0">
    <w:name w:val="WW8NumSt3z0"/>
    <w:next w:val="WW8NumSt3z0"/>
    <w:autoRedefine w:val="0"/>
    <w:hidden w:val="0"/>
    <w:qFormat w:val="0"/>
    <w:rPr>
      <w:rFonts w:ascii="Wingdings" w:hAnsi="Wingdings"/>
      <w:b w:val="0"/>
      <w:i w:val="0"/>
      <w:w w:val="100"/>
      <w:position w:val="-1"/>
      <w:sz w:val="24"/>
      <w:u w:val="non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TN+YlHvHJLNb3ZlGfTSjMei1zw==">CgMxLjAyDmguY3czbnk0NWRoeTdyMg5oLjl1ZDRyaXJsMzJldjIOaC5nOXRyaGl0ZTI1ZW0yDmguNWwwMGQ5Mmlnd2RkMg5oLjFvODRuN3V2aDV2ODIOaC41Zjh5b2N5MDE5b2IyDmguNTJtcG90cHJqOTA0Mg5oLjJwaWJ4NHNjYmNpZzIOaC5sNWQyYmp1b2F6M2cyDmguODBraHR2MjFuY3c0Mg5oLmwxcmtieGRjc2gwbzgAciExLUctWUxhNVZOTTVqV1pwYjlIdGFlaExLSmlxM2pxam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2010-09-16T21:03:00Z</dcterms:created>
  <dc:creator>Vladimír Vyšný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